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8A" w:rsidRDefault="00A319EE">
      <w:pPr>
        <w:spacing w:after="0"/>
        <w:ind w:left="120"/>
        <w:rPr>
          <w:lang w:val="ru-RU"/>
        </w:rPr>
        <w:sectPr w:rsidR="00E62F8A">
          <w:pgSz w:w="11906" w:h="16383"/>
          <w:pgMar w:top="426" w:right="850" w:bottom="1134" w:left="85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inline distT="0" distB="0" distL="0" distR="0">
            <wp:extent cx="6480175" cy="8907266"/>
            <wp:effectExtent l="19050" t="0" r="0" b="0"/>
            <wp:docPr id="1" name="Рисунок 1" descr="F:\Рабочие-24-25\ОБЛОЖКИ РП 24-25\обзр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-24-25\ОБЛОЖКИ РП 24-25\обзр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8A" w:rsidRDefault="00A319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38945519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62F8A" w:rsidRDefault="00E62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непосредственное применение при реализации ОП ООО. 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окружающей средой, учесть преемственность приобретения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обеспечивает: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ясное понимание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проблем безопас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прочное усвоение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зования;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реализацию оптимального баланса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разумное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взаимодополнение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способствующее формированию практических умений и навыков.</w:t>
      </w:r>
    </w:p>
    <w:p w:rsidR="00E62F8A" w:rsidRDefault="00A319EE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1 «Безопасное и устойчивое развитие личности, обще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ства, государства»;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2 «Военная подготовка. Основы военных знаний»;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4 «Безопасность в быту»;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5 «Безопасность на транспорте»;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6 «Безопасность в 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бщественных местах»;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7 «Безопасность в природной среде»;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9 «Безопасность в социуме»;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10 «Безопасность в информационном пространстве»;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модуль № 11 «Основы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противодействия экстремизму и терроризму».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лей (тематических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Учебный материал систематизирован по сферам возможных проявлений рисков и опасностей: помещения и бытовы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Программой ОБЗР предусматривается использование практико-ориентированных интерактивных форм ор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ганизации учебных занятий с возможностью применения тренажёрных систем и виртуальных моделей. 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полностью заменить педагога и практические действия обучающихся.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62F8A" w:rsidRDefault="00E62F8A">
      <w:pPr>
        <w:spacing w:after="0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этом центральной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E62F8A" w:rsidRDefault="00E62F8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еделяется следующими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документами в области безопасности: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ная программа Российской Федерации «Развитие образования», утвержденная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постановлением Правительства Российской Федерации от 26 декабря 2017 г. № 1642.</w:t>
      </w:r>
    </w:p>
    <w:p w:rsidR="00E62F8A" w:rsidRDefault="00E62F8A">
      <w:pPr>
        <w:spacing w:after="0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 предметом, имеет свои дидактические компоненты во всех без искл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чения безопасности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ОБЗР вход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нейтрализовывать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конфликтные ситуации, решать сложные вопросы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оциального характера, грамотно вести себя в чрезвычайных ситуациях.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техно-социальной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E62F8A" w:rsidRDefault="00E62F8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62F8A" w:rsidRDefault="00E62F8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ЕНИЯ УЧЕБНОГО ПРЕДМЕТА «ОСНОВЫ БЕЗОПАСНОСТИ И ЗАЩИТЫ РОДИНЫ»</w:t>
      </w:r>
    </w:p>
    <w:p w:rsidR="00E62F8A" w:rsidRDefault="00E62F8A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готовности к выполнению обязанности по защите Отечества и базового уровня культуры безопасности жиз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нное понимание значимости личного безопасного поведения в интересах безопасности личности, общества и государства;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йных ситуаций природного, техногенного и социального характера.</w:t>
      </w:r>
    </w:p>
    <w:p w:rsidR="00E62F8A" w:rsidRDefault="00E62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F8A" w:rsidRDefault="00A319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  <w:sectPr w:rsidR="00E62F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образования.</w:t>
      </w:r>
    </w:p>
    <w:p w:rsidR="00E62F8A" w:rsidRDefault="00A319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8945516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62F8A" w:rsidRDefault="00E62F8A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Конституции Российской Федерации;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айных ситуациях, система ОКСИОН;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эвакуация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аселения в условиях чрезвычайных ситуаций, порядок действий населения при объявлении эвакуации;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 w:line="252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«Военная подготовка. Основы военн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ых знаний»: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подготовки к военной службе;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воинские символы современных Вооруженных Сил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ной обороны);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бронезащиты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экипировки военнослужащего;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 создания общевоинских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уставов;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становления современных общевоинских уставов;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сущность единоначалия;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командиры (начальники) и подчинён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старшие и младшие;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приказ (приказание), порядок его отдачи и выполнения;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воинская дисциплина, её сущность и значение;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достижения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оинской дисциплины;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вные уборы (головной убор) – снять (надеть)», повороты на месте.</w:t>
      </w:r>
      <w:proofErr w:type="gramEnd"/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 понятий «опасность»,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«безопасность», «риск», «культура безопасности жизнедеятельности»;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механизм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перерастания повседневной ситуации в чрезвычайную ситуацию, правила поведения в опасных и чрезвычайных ситуациях.</w:t>
      </w:r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быту»: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родуктов питания;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бытовые травмы и правила их предупреждения, приёмы и правила оказания первой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помощи;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пожаров, их воз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можные последствия, приёмы и правила оказания первой помощи;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права, обязанности и ответственность граждан в области пожа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рной безопасности;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аварийных ситуаций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коммунальных системах жизнеобеспечения;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E62F8A" w:rsidRDefault="00E62F8A">
      <w:pPr>
        <w:spacing w:after="0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дорожного движения и их значение; 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обеспечения безопасности участников дорожного движения;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«дорожные ловушки» и правила их предупреждения;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пассажиров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дор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ожного движения для водителя велосипеда, мопеда и иных средств индивидуальной мобильности;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дорожно-транспортные происшествия и причины их возникнове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ного, воздушного);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туаций на транспорте.</w:t>
      </w:r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«Безопасность в общественных местах»: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подготовки к ним;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эвакуации из общественных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мест и зданий;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захвате и освобождении заложников;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E62F8A" w:rsidRDefault="00E62F8A">
      <w:pPr>
        <w:spacing w:after="0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 и их классификация;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опасности в природной среде: дикие жи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вотные, змеи, насекомые и паукообразные, ядовитые грибы и растения;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ания на местности, способы подачи сигналов бедствия;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горах;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снежные лавины, их характеристи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 и опасности, порядок действий, необходимый для снижения риска попадания в лавину;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сели, их характеристики и опасности, порядок действий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попадании в зону селя;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тонущего чело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века; правила поведения при нахождении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плавсредствах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цунами, их характеристики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опасности, порядок действий при нахождении в зоне цунами;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землетрясения и извержен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 понятий «экология» и «экологическая культура», значение экологии для устойчивого развития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 понятий «здоровье» и «здоровый образ жизни», их содержание и значение для 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еловека;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ваний, меры их профилактики и защиты от них;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панфитотия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аболеваний и защиты от них;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эмоциональных состояний;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«первая помощь»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обязанность по её оказанию, универсальный алгоритм оказания первой помощи;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9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«Безопасность в социуме»: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стадии его развития, факторы и причины развития конфликта;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для снижения риска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конфликта и порядок действий при его опасных проявлениях;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опасные формы проявления конфликта: агрессия, домашнее насилие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авания манипуляций и способы противостояния им;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деструктивную деятельность) и способы защиты от них;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безопасной коммуникации с незнакомыми людьми.</w:t>
      </w:r>
    </w:p>
    <w:p w:rsidR="00E62F8A" w:rsidRDefault="00E62F8A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«Безопасность в информационном прост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ранстве»: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принципы безопасного поведения, необходимые для предупреждения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возникновения опасных ситуаций в личном цифровом пространстве;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кибергигиены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вные виды опасного и запрещённого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контента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Интернета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кибербуллинга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вербовки в различные организации и группы);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ь.</w:t>
      </w:r>
    </w:p>
    <w:p w:rsidR="00E62F8A" w:rsidRDefault="00E62F8A">
      <w:pPr>
        <w:spacing w:after="0"/>
        <w:ind w:left="120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кой опасности;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контртеррористическая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операция и её цели;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готовки различных форм терактов, порядок действий при их обнаружении;</w:t>
      </w:r>
    </w:p>
    <w:p w:rsidR="00E62F8A" w:rsidRDefault="00A319EE">
      <w:pPr>
        <w:spacing w:after="0"/>
        <w:ind w:firstLine="600"/>
        <w:jc w:val="both"/>
        <w:rPr>
          <w:lang w:val="ru-RU"/>
        </w:rPr>
        <w:sectPr w:rsidR="00E62F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дрыв взрывного устройства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62F8A" w:rsidRDefault="00E62F8A">
      <w:pPr>
        <w:spacing w:after="0"/>
        <w:ind w:left="120"/>
        <w:rPr>
          <w:lang w:val="ru-RU"/>
        </w:rPr>
      </w:pPr>
      <w:bookmarkStart w:id="2" w:name="block-38945517"/>
      <w:bookmarkEnd w:id="2"/>
    </w:p>
    <w:p w:rsidR="00E62F8A" w:rsidRDefault="00A319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62F8A" w:rsidRDefault="00E62F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которые 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выражаются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чающихся руководствоваться системой позитивных ценностных ориентаций и расширение опыта деятельности на её основе.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1) патриотическое воспитание: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вигам и трудовым достижениям народа;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формирование чувства гордости за свою Родину, ответст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венного отношения к выполнению конституционного долга – защите Отечества;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активное участие в жизни се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мьи, организации, местного сообщества, родного края, страны;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многоконфессиональном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обществе;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ие в самоуправлении в образовательной организации;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волонтёрство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, помощь людям, нуждающимся в ней);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 личности, общества и государства;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ий природного, техногенного и социального характера;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ориентация на моральные ценности и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нормы в ситуациях нравственного выбора;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активное неприятие асоциальных поступков, сво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бода и ответственность личности в условиях индивидуального и общественного пространства;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ью и здоровью окружающих;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4) эстетическое воспитание: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формирование гармоничной личности, развитие способности воспринимать, це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нить и создавать прекрасное в повседневной жизни;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5) ценности научного познания: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нствовать пути достижения индивидуального и коллективного благополучия;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видов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опасных и чрезвычайных ситуаций, которые могут произойти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понимание личностного см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жизни;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соблюдение гигиенических правил, сбалансированный режим занятий и отдыха, регулярная физическая активность);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оровья;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Интернет–среде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страивая дальнейшие цели;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умение 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принимать себя и других людей, не осуждая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навыка рефлексии, признание своего права на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ошибку и такого же права другого человека;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ать, планировать и самостоятельно выполнять такого рода деятельность;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осознание важности обучения на протяжении всей жизни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для успешной профессиональной деятельности и развитие необходимых умений для этого;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уважение к труду и результатам трудовой деятельности;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я и жизненных планов с учётом личных и общественных интересов и потребностей;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туациях;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установ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ной среды);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повышение уровня экологи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социальной сред;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рритории проживания.</w:t>
      </w:r>
    </w:p>
    <w:p w:rsidR="00E62F8A" w:rsidRDefault="00E62F8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E62F8A" w:rsidRDefault="00A319EE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универсальные учебные действия, совместная деятельность.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устанавливать существенный признак классификации, основ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ания для обобщения и сравнения, критерии проводимого анализа;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выявлять деф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ицит информации, данных, необходимых для решения поставленной задачи;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гипотезы о взаимосвязях;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исследовательские действия: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формулировать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делать обоснованные выводы по результатам исследования;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прогнозировать возможное дальнейшее развитие процессов, соб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точников с учётом предложенной учебной задачи и заданных критериев;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ю, версию) в различных информационных источниках;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оценивать надёжность информации по крите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риям, предложенным педагогическим работником или сформулированным самостоятельно;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когнитивных навыков обучающихся.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Общение: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грамотное общение для их смягчения;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ков диалога, обнаруживать различие и сходство позиций;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публично представлять результаты решения учебн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Регулятивные универсальные учебные действия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проблемные вопросы, требующие решения в жизненных и учебных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ситуациях;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составлять план действий, нах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Самоконтроль, эмоциональный интеллект: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давать оценку ситуации, предвидеть трудности, которые могут возникнуть п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ри решении учебной задачи, и вносить коррективы в деятельность на основе новых обстоятельств;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причины достижения (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позитивное</w:t>
      </w:r>
      <w:proofErr w:type="gram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в произошедшей ситуации;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оцени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вать соответствие результата цели и условиям;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 человека, регулировать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способ выражения эмоций;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и использовать преим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ущества командной и индивидуальной работы при решении конкретной учебной задачи;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боты, подчиняться, выделять общую точку зрения, договариваться о результатах);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группы критериям, разделять сферу ответственности и проявлять готовность к предоставлению отчёта перед группой.</w:t>
      </w:r>
    </w:p>
    <w:p w:rsidR="00E62F8A" w:rsidRDefault="00A319EE">
      <w:pPr>
        <w:spacing w:after="0"/>
        <w:ind w:firstLine="600"/>
        <w:rPr>
          <w:sz w:val="24"/>
          <w:szCs w:val="24"/>
          <w:lang w:val="ru-RU"/>
        </w:rPr>
      </w:pPr>
      <w:bookmarkStart w:id="3" w:name="_Toc161857405"/>
      <w:bookmarkStart w:id="4" w:name="_Toc134720971"/>
      <w:bookmarkEnd w:id="3"/>
      <w:bookmarkEnd w:id="4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у обучающихся основ культуры безопасности и защиты Родины и проявляю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антиэкстремистского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печения национальной безопасности, угрозах мирного и военного характера;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ставлений о роли гражданской обороны и ее истории; знание порядка действий при сигнале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«Внимание всем!»; знание об индивидуальных и коллективных мерах защиты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их применения;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чувства гордости за сво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бенностей добровольной и обязательной подготовки к военной службе;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 и умение их применять при выполнении обязанностей воинской службы;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знание правил дорожного движения, пожарной безопасности, безопасного повед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ения в быту, транспорте, в общественных местах, на природе и умение применять их в поведении;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медицинских знаний и владение умениями оказывать первую помощь пострадавшим пр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социально ответственного отношения к ведению здорового об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нфликтов,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манипулятивном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поведения в информационном пространстве и готовность применять их на практике;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опасности вовлечения в деструктивную,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экстремистскую и террористическую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беспечении мер безопасности личности, общества и государства;</w:t>
      </w:r>
    </w:p>
    <w:p w:rsidR="00E62F8A" w:rsidRDefault="00A319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распространению наркотических средств.</w:t>
      </w:r>
    </w:p>
    <w:p w:rsidR="00E62F8A" w:rsidRDefault="00A319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</w:t>
      </w:r>
      <w:r>
        <w:rPr>
          <w:rFonts w:ascii="Times New Roman" w:hAnsi="Times New Roman"/>
          <w:color w:val="333333"/>
          <w:sz w:val="28"/>
          <w:lang w:val="ru-RU"/>
        </w:rPr>
        <w:t>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8 КЛАСС 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Предметные результаты по модулю № 1 «Безопасное и устойчивое развитие 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личности, общества, государства»: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Стратегии национ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классификацию чрезвычайных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ситуаций по масштабам и источникам возникновения, приводить примеры;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резвычайных ситуациях и угрозах военного характера;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яснять порядок действий населения при объявлении эвакуации;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приводить примеры применения Вооружённых Сил Российской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Федерациив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крывать понятия «воинская обязанность», «военная служба»;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2 «Военная подготовка. Основы военных знаний»: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Вооруженных 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ил Российской Федерации;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комплексны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х задач;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понимать функции и задачи Вооруженных Сил Российской Федерации на современном этапе;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 образа росс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ийского военнослужащего – защитника Отечества;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об основных тактико-технических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характеристиках вооружения и военной техники;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современных элементах экипировки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военнослужащего;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алгоритм надевания экипиро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вки и средств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современны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х общевоинских уставов Вооруженных Сил Российской Федерации;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 единоначалия, принятый в Вооруженных Силах Российской Федерации;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воинской дисциплине, ее сущности 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строевые приёмы на месте без 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ружия;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«опас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ность», «безопасность», «риск», «культура безопасности жизнедеятельности»;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раскрывать и обосновывать правила поведения 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опасных и чрезвычайных ситуациях.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основные источники опасности в быту;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права потребителя, выработать навыки безопасного вы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бора продуктов питания;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тный термометр;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травмы и объяснять пр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авила их предупреждения;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и иметь навыки оказания первой помощи при ушибах, переломах, растяжении, вывихе, сотрясении мозга, укусах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животных, кровотечениях;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навыки безопасных действий при опасных ситуациях в подъезде и лифте;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электротравме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пожар, его факторы и стадии развития;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условия и прич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ины возникновения пожаров, характеризовать их возможные последствия;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ава, обязанности и иметь представление об ответственности граждан в области пожарной безопасности;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333333"/>
          <w:sz w:val="24"/>
          <w:szCs w:val="24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ответственности за ложные со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общения;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с малознакомыми людьми;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поведения и иметь навыки безопасных действий при попытке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проникновения в дом посторонних;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5 «Безопасность на тра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нспорте»: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шеходов;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перехода дороги;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применения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световозвращающих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элементов;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 движения для пассажиров;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пассажиров при опасных и чрезвычайных ситуациях в маршру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тных транспортных средствах;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дорожные знаки для водителя велосипеда, сигналы велосип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едиста;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навыки безопасных действий очевидца дорожно-транспортного происшествия;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ссажиров отдельных видов транспорта;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и иметь навыки оказания первой помощи при различных травмах в результате чрезвычайных ситуаций на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транспорте;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общественные места;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массовых мероприятий и объяснять правила подготовки к посещению массовых мероприятий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безопасного поведения при беспорядках в местах массового пребывания людей;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выки безопасных действий при эвакуации из общественных мест и зданий;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твий при взаимодействии с правоохранительными органами.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9 КЛАСС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в природной среде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: дикие животные, змеи, насекомые и паукообразные, ядовитые грибы и растения;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для снижения риска отравления ядовитыми гр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ибами и растениями;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картой, обеспечение ночлега и питания, разведение костра, подача сигналов бедствия;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 при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нахождении в зоне природного пожара;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действиях, необходимых для сниже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ния риска попадания в лавину, под камнепад, при попадании в зону селя, при начале оползня;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само-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и взаимопомощи терпящим бедствие на воде;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поведения при нахождении на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плавсредствах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на льду;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характеризовать наводнения, их внешние при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знаки 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ураганы, смерчи, их внешние приз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наки 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землетрясения и извержения вулканов и их оп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содержание элементов здорового образа жизни, объяснять пагубность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вредных привычек;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мер их профилактики и защиты от них;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панфитотия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ать факторы риска неинфекционных заболеваний;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«психическое здоровье» и «психическое благополучи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е»;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эмоциональных состояний;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состояния, требующие оказания пе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рвой помощи;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етные результаты по модулю № 9 «Безопасность в социуме»: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и иметь навыки соблюдения правил безопасной меж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личностной коммуникации и комфортного взаимодействия в группе;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ситуациях во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зникновения межличностных и групповых конфликтов;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буллинг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приёмы распознавания манипуляций и знать способы противостояния 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чение в преступную, асоциальную или деструктивную деятельность) и знать способы защиты от них;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при комму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никации с незнакомыми людьми.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положительные возможн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ости цифровой среды;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опасные явления цифро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вой среды;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кибергигиены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для предупреждения возникновения опасных ситуаций в цифровой среде;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характеризовать основные виды опасного и зап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рещённого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контента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в Интернете и характеризовать его признаки;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противоправные действия в Интернете;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цифрового поведения, необходимых для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снижения рисков и угроз при использовании Интернета (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кибербуллинга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, вербовки в различные организации и группы);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E62F8A" w:rsidRDefault="00A319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безопасного использования Интернета,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необходимых для снижения рисков и угроз вовлечения в различную деструктивную деятельность.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понятия «экстремизм» и «терроризм», раскрывать их содержание, харак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теризовать причины, возможные варианты проявления и их последствия;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у и терроризму;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уровни террористической опасности и цели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контртеррористической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операции;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вовлечения в террористическую деятельность;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аружении признаков вербовки;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E62F8A" w:rsidRDefault="00A319EE">
      <w:pPr>
        <w:spacing w:after="0"/>
        <w:ind w:firstLine="600"/>
        <w:jc w:val="both"/>
        <w:rPr>
          <w:sz w:val="24"/>
          <w:szCs w:val="24"/>
          <w:lang w:val="ru-RU"/>
        </w:rPr>
        <w:sectPr w:rsidR="00E62F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безопасных действиях в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62F8A" w:rsidRDefault="00A319EE">
      <w:pPr>
        <w:spacing w:after="0"/>
        <w:ind w:left="120"/>
        <w:rPr>
          <w:sz w:val="24"/>
          <w:szCs w:val="24"/>
        </w:rPr>
      </w:pPr>
      <w:bookmarkStart w:id="5" w:name="block-38945518"/>
      <w:bookmarkEnd w:id="5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62F8A" w:rsidRDefault="00A319E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8"/>
        <w:gridCol w:w="4691"/>
        <w:gridCol w:w="1518"/>
        <w:gridCol w:w="1841"/>
        <w:gridCol w:w="1909"/>
        <w:gridCol w:w="3063"/>
      </w:tblGrid>
      <w:tr w:rsidR="00E62F8A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4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E62F8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</w:tbl>
    <w:p w:rsidR="00E62F8A" w:rsidRDefault="00E62F8A">
      <w:pPr>
        <w:sectPr w:rsidR="00E62F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62F8A" w:rsidRDefault="00A319E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14"/>
        <w:gridCol w:w="4553"/>
        <w:gridCol w:w="1560"/>
        <w:gridCol w:w="1841"/>
        <w:gridCol w:w="1909"/>
        <w:gridCol w:w="3063"/>
      </w:tblGrid>
      <w:tr w:rsidR="00E62F8A">
        <w:trPr>
          <w:trHeight w:val="144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4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Модуль "Безопасность в природной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среде"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E62F8A">
        <w:trPr>
          <w:trHeight w:val="144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</w:tbl>
    <w:p w:rsidR="00E62F8A" w:rsidRDefault="00E62F8A">
      <w:pPr>
        <w:sectPr w:rsidR="00E62F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62F8A" w:rsidRDefault="00E62F8A">
      <w:pPr>
        <w:rPr>
          <w:lang w:val="ru-RU"/>
        </w:rPr>
        <w:sectPr w:rsidR="00E62F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62F8A" w:rsidRDefault="00A319EE">
      <w:pPr>
        <w:spacing w:after="0"/>
        <w:ind w:left="120"/>
        <w:rPr>
          <w:sz w:val="24"/>
          <w:szCs w:val="24"/>
        </w:rPr>
      </w:pPr>
      <w:bookmarkStart w:id="6" w:name="block-38945514"/>
      <w:bookmarkEnd w:id="6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 xml:space="preserve">КАЛЕНДАРНО_ТЕМАТИЧЕСКОЕ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-34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часа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E62F8A" w:rsidRDefault="00A319E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95"/>
        <w:gridCol w:w="3827"/>
        <w:gridCol w:w="1171"/>
        <w:gridCol w:w="1841"/>
        <w:gridCol w:w="1909"/>
        <w:gridCol w:w="1348"/>
        <w:gridCol w:w="3049"/>
      </w:tblGrid>
      <w:tr w:rsidR="00E62F8A">
        <w:trPr>
          <w:trHeight w:val="144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безопасности в жизни человека,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общества, государства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Отечества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долг и обязанность гражданина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образцы вооружения и военной техники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Вооруженных Сил Российской Федерации (основы технической подготовки и связи)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Виды, назначение и тактико-технические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Военнослужащие и взаимоотношения между ними (общевоинские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уставы)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поведения в опасных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чрезвычайных ситуациях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травм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Безопасная эксплуатация бытовых приборов и мест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общего пользования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eacdf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sz w:val="24"/>
                <w:szCs w:val="24"/>
                <w:lang w:val="ru-RU"/>
              </w:rPr>
              <w:t>нгед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пешехода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eaefa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пассажира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eafef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7нед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eafd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0210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опасности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29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Безопасные действия в ситуациях криминогенного и антиобщественного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характера.</w:t>
            </w:r>
          </w:p>
          <w:p w:rsidR="00A319EE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62F8A">
        <w:trPr>
          <w:trHeight w:val="144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</w:tbl>
    <w:p w:rsidR="00E62F8A" w:rsidRDefault="00E62F8A">
      <w:pPr>
        <w:sectPr w:rsidR="00E62F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62F8A" w:rsidRDefault="00A319EE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99"/>
        <w:gridCol w:w="3819"/>
        <w:gridCol w:w="1175"/>
        <w:gridCol w:w="1841"/>
        <w:gridCol w:w="1909"/>
        <w:gridCol w:w="1348"/>
        <w:gridCol w:w="3049"/>
      </w:tblGrid>
      <w:tr w:rsidR="00E62F8A">
        <w:trPr>
          <w:trHeight w:val="144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горах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водоёмах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при наводнении, цунами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7нед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Психическое здоровье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благополучие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3078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Практикум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Безопасные способы избегания и разрешения конфликтных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ситуаций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Манипуляция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способы противостоять 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 </w:t>
            </w:r>
            <w:proofErr w:type="spellStart"/>
            <w:r>
              <w:rPr>
                <w:sz w:val="24"/>
                <w:szCs w:val="24"/>
                <w:lang w:val="ru-RU"/>
              </w:rPr>
              <w:t>недд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4568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Опасный и запрещенный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способы распознавания и защиты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4842</w:t>
              </w:r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E62F8A" w:rsidRPr="00A319EE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понятий "терроризм"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"экстремизм"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29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общественно-государственной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противодействия экстремизму и терроризму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33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акта.</w:t>
            </w:r>
          </w:p>
          <w:p w:rsidR="00A319EE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Тест.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 </w:t>
            </w:r>
            <w:proofErr w:type="spellStart"/>
            <w:r>
              <w:rPr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2F8A">
        <w:trPr>
          <w:trHeight w:val="144"/>
        </w:trPr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A319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F8A" w:rsidRDefault="00E62F8A">
            <w:pPr>
              <w:rPr>
                <w:sz w:val="24"/>
                <w:szCs w:val="24"/>
              </w:rPr>
            </w:pPr>
          </w:p>
        </w:tc>
      </w:tr>
    </w:tbl>
    <w:p w:rsidR="00E62F8A" w:rsidRDefault="00E62F8A">
      <w:pPr>
        <w:rPr>
          <w:sz w:val="24"/>
          <w:szCs w:val="24"/>
          <w:lang w:val="ru-RU"/>
        </w:rPr>
      </w:pPr>
    </w:p>
    <w:p w:rsidR="00E62F8A" w:rsidRDefault="00E62F8A">
      <w:pPr>
        <w:rPr>
          <w:sz w:val="24"/>
          <w:szCs w:val="24"/>
          <w:lang w:val="ru-RU"/>
        </w:rPr>
        <w:sectPr w:rsidR="00E62F8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62F8A" w:rsidRDefault="00E62F8A">
      <w:pPr>
        <w:rPr>
          <w:lang w:val="ru-RU"/>
        </w:rPr>
      </w:pPr>
    </w:p>
    <w:p w:rsidR="00A319EE" w:rsidRDefault="00A319EE">
      <w:pPr>
        <w:rPr>
          <w:lang w:val="ru-RU"/>
        </w:rPr>
      </w:pPr>
    </w:p>
    <w:p w:rsidR="00A319EE" w:rsidRDefault="00A319EE" w:rsidP="00A319EE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>Учебно</w:t>
      </w:r>
      <w:proofErr w:type="spellEnd"/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– </w:t>
      </w:r>
      <w:proofErr w:type="gramStart"/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>ме</w:t>
      </w:r>
      <w:proofErr w:type="gramEnd"/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ru-RU"/>
        </w:rPr>
        <w:t>тодический комплект.</w:t>
      </w:r>
    </w:p>
    <w:p w:rsidR="00A319EE" w:rsidRDefault="00A319EE" w:rsidP="00A319EE">
      <w:pPr>
        <w:spacing w:line="240" w:lineRule="auto"/>
        <w:rPr>
          <w:rFonts w:ascii="Times New Roman" w:hAnsi="Times New Roman"/>
          <w:color w:val="000000"/>
          <w:lang w:val="ru-RU"/>
        </w:rPr>
      </w:pPr>
    </w:p>
    <w:p w:rsidR="00A319EE" w:rsidRDefault="00A319EE" w:rsidP="00A319EE">
      <w:pPr>
        <w:pStyle w:val="c3"/>
        <w:spacing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color w:val="000000"/>
        </w:rPr>
        <w:t> </w:t>
      </w:r>
      <w:r>
        <w:rPr>
          <w:rStyle w:val="c1"/>
          <w:b/>
          <w:bCs/>
          <w:color w:val="000000"/>
        </w:rPr>
        <w:t>Для ученика:</w:t>
      </w:r>
    </w:p>
    <w:p w:rsidR="00A319EE" w:rsidRDefault="00A319EE" w:rsidP="00A319EE">
      <w:pPr>
        <w:pStyle w:val="c3"/>
        <w:numPr>
          <w:ilvl w:val="0"/>
          <w:numId w:val="3"/>
        </w:numPr>
        <w:spacing w:beforeAutospacing="0" w:after="0" w:afterAutospacing="0"/>
        <w:jc w:val="both"/>
      </w:pPr>
      <w:r>
        <w:t>Смирнов А.Т. Основы безопасности жизнедеятельности. 8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учащихся общеобразовательных учреждений / [А.Т. Смирнов, Б.О. Хренников.] Под общ. Ред. А.Т. Смирнова. – 3-е изд. – М.: Просвещение, 2022</w:t>
      </w:r>
    </w:p>
    <w:p w:rsidR="00A319EE" w:rsidRDefault="00A319EE" w:rsidP="00A319EE">
      <w:pPr>
        <w:pStyle w:val="c3"/>
        <w:numPr>
          <w:ilvl w:val="0"/>
          <w:numId w:val="3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ОБЖ  9 класс.: </w:t>
      </w:r>
      <w:proofErr w:type="spellStart"/>
      <w:r>
        <w:rPr>
          <w:color w:val="000000"/>
        </w:rPr>
        <w:t>учеб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>. организаций /Смирнов А.Т. Хренников Б.О.; под ред. Смирнова А.Т. – 2-е изд. М. : Просвещение, 2022г.)</w:t>
      </w:r>
    </w:p>
    <w:p w:rsidR="00A319EE" w:rsidRDefault="00A319EE" w:rsidP="00A319EE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ОБЖ 9 класс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–р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абочая тетрадь для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учащихся-под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ред.А.Т. Смирнова</w:t>
      </w:r>
    </w:p>
    <w:p w:rsidR="00A319EE" w:rsidRDefault="00A319EE" w:rsidP="00A319EE">
      <w:pPr>
        <w:spacing w:line="240" w:lineRule="auto"/>
        <w:rPr>
          <w:rFonts w:ascii="Times New Roman" w:hAnsi="Times New Roman"/>
          <w:b/>
          <w:u w:val="single"/>
          <w:lang w:val="ru-RU"/>
        </w:rPr>
      </w:pPr>
    </w:p>
    <w:p w:rsidR="00A319EE" w:rsidRDefault="00A319EE" w:rsidP="00A319EE">
      <w:pPr>
        <w:spacing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Дополнительная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литература</w:t>
      </w:r>
      <w:proofErr w:type="spellEnd"/>
    </w:p>
    <w:p w:rsidR="00A319EE" w:rsidRDefault="00A319EE" w:rsidP="00A319EE">
      <w:pPr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eastAsia="Arial" w:hAnsi="Times New Roman"/>
          <w:sz w:val="24"/>
          <w:szCs w:val="24"/>
          <w:lang w:val="ru-RU"/>
        </w:rPr>
      </w:pPr>
      <w:r>
        <w:rPr>
          <w:rStyle w:val="apple-converted-space"/>
          <w:rFonts w:ascii="Times New Roman" w:eastAsia="Arial" w:hAnsi="Times New Roman"/>
          <w:sz w:val="24"/>
          <w:szCs w:val="24"/>
          <w:lang w:val="ru-RU"/>
        </w:rPr>
        <w:t>Ю.Н.Сычев «Безопасность жизнедеятельности в чрезвычайных ситуациях»</w:t>
      </w:r>
      <w:r>
        <w:rPr>
          <w:rFonts w:ascii="Times New Roman" w:hAnsi="Times New Roman"/>
          <w:sz w:val="24"/>
          <w:szCs w:val="24"/>
          <w:lang w:val="ru-RU"/>
        </w:rPr>
        <w:t xml:space="preserve"> Московский государственный университет экономики, статистики и информатики, </w:t>
      </w:r>
      <w:r>
        <w:rPr>
          <w:rStyle w:val="apple-converted-space"/>
          <w:rFonts w:ascii="Times New Roman" w:eastAsia="Arial" w:hAnsi="Times New Roman"/>
          <w:sz w:val="24"/>
          <w:szCs w:val="24"/>
          <w:lang w:val="ru-RU"/>
        </w:rPr>
        <w:t xml:space="preserve"> М.2015</w:t>
      </w:r>
    </w:p>
    <w:p w:rsidR="00A319EE" w:rsidRDefault="00A319EE" w:rsidP="00A319EE">
      <w:pPr>
        <w:pStyle w:val="af1"/>
        <w:numPr>
          <w:ilvl w:val="0"/>
          <w:numId w:val="2"/>
        </w:numPr>
      </w:pPr>
      <w:proofErr w:type="spellStart"/>
      <w:r>
        <w:t>В.И.Громсов.</w:t>
      </w:r>
      <w:proofErr w:type="gramStart"/>
      <w:r>
        <w:t>,Г</w:t>
      </w:r>
      <w:proofErr w:type="gramEnd"/>
      <w:r>
        <w:t>.А.Васильев</w:t>
      </w:r>
      <w:proofErr w:type="spellEnd"/>
      <w:r>
        <w:t>."Энциклопедия безопасности - 3" (С изменениями и дополнениями) М., 2020 год</w:t>
      </w:r>
    </w:p>
    <w:p w:rsidR="00A319EE" w:rsidRDefault="00A319EE" w:rsidP="00A319EE">
      <w:pPr>
        <w:pStyle w:val="af1"/>
        <w:numPr>
          <w:ilvl w:val="0"/>
          <w:numId w:val="2"/>
        </w:numPr>
      </w:pPr>
      <w:r>
        <w:t>4.Р.И.Айзман.</w:t>
      </w:r>
      <w:proofErr w:type="gramStart"/>
      <w:r>
        <w:t>,С</w:t>
      </w:r>
      <w:proofErr w:type="gramEnd"/>
      <w:r>
        <w:t>.Г.Кривощеков «Основы безопасность жизнедеятельности и первой медицинской помощи» Сибирское университетское издательство. Новосибирск 2012г.</w:t>
      </w:r>
    </w:p>
    <w:p w:rsidR="00A319EE" w:rsidRDefault="00A319EE" w:rsidP="00A319EE">
      <w:pPr>
        <w:pStyle w:val="af1"/>
        <w:numPr>
          <w:ilvl w:val="0"/>
          <w:numId w:val="2"/>
        </w:numPr>
      </w:pPr>
      <w:r>
        <w:t>6.А</w:t>
      </w:r>
      <w:proofErr w:type="gramStart"/>
      <w:r>
        <w:t xml:space="preserve"> .</w:t>
      </w:r>
      <w:proofErr w:type="spellStart"/>
      <w:proofErr w:type="gramEnd"/>
      <w:r>
        <w:t>Илин</w:t>
      </w:r>
      <w:proofErr w:type="spellEnd"/>
      <w:r>
        <w:t xml:space="preserve"> «Школа выживания при авариях и стихийных бедствиях» М.»</w:t>
      </w:r>
      <w:proofErr w:type="spellStart"/>
      <w:r>
        <w:t>Эксмо-пресс</w:t>
      </w:r>
      <w:proofErr w:type="spellEnd"/>
      <w:r>
        <w:t>»2021 г.</w:t>
      </w:r>
    </w:p>
    <w:p w:rsidR="00A319EE" w:rsidRDefault="00A319EE" w:rsidP="00A319E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1.Л.В.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Байбородова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Ю.В.Индюков «Методика обучения основам безопасности жизнедеятельности». М.,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2013г.</w:t>
      </w:r>
    </w:p>
    <w:p w:rsidR="00A319EE" w:rsidRDefault="00A319EE" w:rsidP="00A319EE">
      <w:pPr>
        <w:pStyle w:val="af0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2.В.М.Евлахов «Раздаточный материал по основам безопасности жизнедеятельности» М.Дрофа 2016 г</w:t>
      </w:r>
    </w:p>
    <w:p w:rsidR="00A319EE" w:rsidRDefault="00A319EE" w:rsidP="00A319E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МЕТОДИЧЕСКИЕ МАТЕРИАЛЫ ДЛЯ УЧИТЕЛЯ</w:t>
      </w:r>
    </w:p>
    <w:p w:rsidR="00A319EE" w:rsidRDefault="00A319EE" w:rsidP="00A319EE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uchitel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club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fgos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obzh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319EE" w:rsidRDefault="00A319EE" w:rsidP="00A319EE">
      <w:pPr>
        <w:spacing w:after="0"/>
        <w:ind w:left="120"/>
        <w:rPr>
          <w:lang w:val="ru-RU"/>
        </w:rPr>
      </w:pPr>
    </w:p>
    <w:p w:rsidR="00A319EE" w:rsidRDefault="00A319EE">
      <w:pPr>
        <w:rPr>
          <w:lang w:val="ru-RU"/>
        </w:rPr>
        <w:sectPr w:rsidR="00A319E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E62F8A" w:rsidRDefault="00E62F8A">
      <w:pPr>
        <w:spacing w:after="0" w:line="480" w:lineRule="auto"/>
        <w:ind w:left="120"/>
        <w:rPr>
          <w:lang w:val="ru-RU"/>
        </w:rPr>
        <w:sectPr w:rsidR="00E62F8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7" w:name="block-38945515"/>
      <w:bookmarkStart w:id="8" w:name="block-38945520"/>
      <w:bookmarkEnd w:id="7"/>
      <w:bookmarkEnd w:id="8"/>
    </w:p>
    <w:p w:rsidR="00E62F8A" w:rsidRDefault="00E62F8A">
      <w:pPr>
        <w:rPr>
          <w:lang w:val="ru-RU"/>
        </w:rPr>
      </w:pPr>
    </w:p>
    <w:sectPr w:rsidR="00E62F8A" w:rsidSect="00E62F8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DFD"/>
    <w:multiLevelType w:val="multilevel"/>
    <w:tmpl w:val="49A21D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D077A3"/>
    <w:multiLevelType w:val="multilevel"/>
    <w:tmpl w:val="0A3600CC"/>
    <w:lvl w:ilvl="0">
      <w:start w:val="1"/>
      <w:numFmt w:val="decimal"/>
      <w:lvlText w:val="%1."/>
      <w:lvlJc w:val="left"/>
      <w:pPr>
        <w:tabs>
          <w:tab w:val="num" w:pos="0"/>
        </w:tabs>
        <w:ind w:left="82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D32C54"/>
    <w:multiLevelType w:val="multilevel"/>
    <w:tmpl w:val="90126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C777C3A"/>
    <w:multiLevelType w:val="multilevel"/>
    <w:tmpl w:val="0748BC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2F8A"/>
    <w:rsid w:val="00A319EE"/>
    <w:rsid w:val="00E6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E30DF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AE3621"/>
  </w:style>
  <w:style w:type="character" w:customStyle="1" w:styleId="c1">
    <w:name w:val="c1"/>
    <w:basedOn w:val="a0"/>
    <w:qFormat/>
    <w:rsid w:val="00AE3621"/>
  </w:style>
  <w:style w:type="paragraph" w:customStyle="1" w:styleId="aa">
    <w:name w:val="Заголовок"/>
    <w:basedOn w:val="a"/>
    <w:next w:val="ab"/>
    <w:qFormat/>
    <w:rsid w:val="00E62F8A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b">
    <w:name w:val="Body Text"/>
    <w:basedOn w:val="a"/>
    <w:rsid w:val="00E62F8A"/>
    <w:pPr>
      <w:spacing w:after="140"/>
    </w:pPr>
  </w:style>
  <w:style w:type="paragraph" w:styleId="ac">
    <w:name w:val="List"/>
    <w:basedOn w:val="ab"/>
    <w:rsid w:val="00E62F8A"/>
    <w:rPr>
      <w:rFonts w:cs="Verdana"/>
    </w:rPr>
  </w:style>
  <w:style w:type="paragraph" w:customStyle="1" w:styleId="Caption">
    <w:name w:val="Caption"/>
    <w:basedOn w:val="a"/>
    <w:qFormat/>
    <w:rsid w:val="00E62F8A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d">
    <w:name w:val="index heading"/>
    <w:basedOn w:val="a"/>
    <w:qFormat/>
    <w:rsid w:val="00E62F8A"/>
    <w:pPr>
      <w:suppressLineNumbers/>
    </w:pPr>
    <w:rPr>
      <w:rFonts w:cs="Verdana"/>
    </w:rPr>
  </w:style>
  <w:style w:type="paragraph" w:customStyle="1" w:styleId="ae">
    <w:name w:val="Колонтитул"/>
    <w:basedOn w:val="a"/>
    <w:qFormat/>
    <w:rsid w:val="00E62F8A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List Paragraph"/>
    <w:basedOn w:val="a"/>
    <w:uiPriority w:val="34"/>
    <w:qFormat/>
    <w:rsid w:val="00AE3621"/>
    <w:pPr>
      <w:ind w:left="708"/>
    </w:pPr>
    <w:rPr>
      <w:rFonts w:ascii="Calibri" w:eastAsia="Calibri" w:hAnsi="Calibri" w:cs="Times New Roman"/>
      <w:lang w:val="ru-RU"/>
    </w:rPr>
  </w:style>
  <w:style w:type="paragraph" w:styleId="af1">
    <w:name w:val="No Spacing"/>
    <w:uiPriority w:val="1"/>
    <w:qFormat/>
    <w:rsid w:val="00AE36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">
    <w:name w:val="c3"/>
    <w:basedOn w:val="a"/>
    <w:qFormat/>
    <w:rsid w:val="00AE36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2">
    <w:name w:val="Table Grid"/>
    <w:basedOn w:val="a1"/>
    <w:uiPriority w:val="59"/>
    <w:rsid w:val="00E30D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A3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1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10921</Words>
  <Characters>62253</Characters>
  <Application>Microsoft Office Word</Application>
  <DocSecurity>0</DocSecurity>
  <Lines>518</Lines>
  <Paragraphs>146</Paragraphs>
  <ScaleCrop>false</ScaleCrop>
  <Company>Microsoft</Company>
  <LinksUpToDate>false</LinksUpToDate>
  <CharactersWithSpaces>73028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Галина Александровка</cp:lastModifiedBy>
  <cp:revision>6</cp:revision>
  <cp:lastPrinted>2008-06-27T01:44:00Z</cp:lastPrinted>
  <dcterms:created xsi:type="dcterms:W3CDTF">2024-08-19T20:13:00Z</dcterms:created>
  <dcterms:modified xsi:type="dcterms:W3CDTF">2024-09-26T11:21:00Z</dcterms:modified>
  <dc:language>ru-RU</dc:language>
</cp:coreProperties>
</file>